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82BB8"/>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RPr="00690DBD" w:rsidP="00690DBD">
      <w:pPr>
        <w:spacing w:line="480" w:lineRule="auto"/>
        <w:jc w:val="center"/>
        <w:rPr>
          <w:rFonts w:ascii="Times New Roman" w:hAnsi="Times New Roman" w:cs="Times New Roman"/>
          <w:sz w:val="24"/>
          <w:szCs w:val="24"/>
        </w:rPr>
      </w:pPr>
      <w:r w:rsidRPr="00690DBD">
        <w:rPr>
          <w:rFonts w:ascii="Times New Roman" w:hAnsi="Times New Roman" w:cs="Times New Roman"/>
          <w:sz w:val="24"/>
          <w:szCs w:val="24"/>
        </w:rPr>
        <w:t>Article summary and critique</w:t>
      </w:r>
    </w:p>
    <w:p w:rsidR="00690DBD" w:rsidRPr="00690DBD" w:rsidP="00795CCF">
      <w:pPr>
        <w:spacing w:line="480" w:lineRule="auto"/>
        <w:jc w:val="center"/>
        <w:rPr>
          <w:rFonts w:ascii="Times New Roman" w:hAnsi="Times New Roman" w:cs="Times New Roman"/>
          <w:sz w:val="24"/>
          <w:szCs w:val="24"/>
        </w:rPr>
      </w:pPr>
      <w:r w:rsidRPr="00690DBD">
        <w:rPr>
          <w:rFonts w:ascii="Times New Roman" w:hAnsi="Times New Roman" w:cs="Times New Roman"/>
          <w:sz w:val="24"/>
          <w:szCs w:val="24"/>
        </w:rPr>
        <w:t>Student’s Name</w:t>
      </w:r>
    </w:p>
    <w:p w:rsidR="00690DBD" w:rsidRPr="00690DBD" w:rsidP="00795CCF">
      <w:pPr>
        <w:spacing w:line="480" w:lineRule="auto"/>
        <w:jc w:val="center"/>
        <w:rPr>
          <w:rFonts w:ascii="Times New Roman" w:hAnsi="Times New Roman" w:cs="Times New Roman"/>
          <w:sz w:val="24"/>
          <w:szCs w:val="24"/>
        </w:rPr>
      </w:pPr>
      <w:r w:rsidRPr="00690DBD">
        <w:rPr>
          <w:rFonts w:ascii="Times New Roman" w:hAnsi="Times New Roman" w:cs="Times New Roman"/>
          <w:sz w:val="24"/>
          <w:szCs w:val="24"/>
        </w:rPr>
        <w:t>Institutional Affiliation</w:t>
      </w:r>
    </w:p>
    <w:p w:rsidR="00690DBD" w:rsidRPr="00690DBD" w:rsidP="00795CCF">
      <w:pPr>
        <w:spacing w:line="480" w:lineRule="auto"/>
        <w:jc w:val="center"/>
        <w:rPr>
          <w:rFonts w:ascii="Times New Roman" w:hAnsi="Times New Roman" w:cs="Times New Roman"/>
          <w:sz w:val="24"/>
          <w:szCs w:val="24"/>
        </w:rPr>
      </w:pPr>
      <w:r w:rsidRPr="00690DBD">
        <w:rPr>
          <w:rFonts w:ascii="Times New Roman" w:hAnsi="Times New Roman" w:cs="Times New Roman"/>
          <w:sz w:val="24"/>
          <w:szCs w:val="24"/>
        </w:rPr>
        <w:t xml:space="preserve">Date </w:t>
      </w: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795CCF">
      <w:pPr>
        <w:spacing w:line="480" w:lineRule="auto"/>
        <w:jc w:val="center"/>
        <w:rPr>
          <w:rFonts w:ascii="Times New Roman" w:hAnsi="Times New Roman" w:cs="Times New Roman"/>
          <w:b/>
          <w:sz w:val="24"/>
          <w:szCs w:val="24"/>
        </w:rPr>
      </w:pPr>
    </w:p>
    <w:p w:rsidR="00690DBD" w:rsidP="00690DBD">
      <w:pPr>
        <w:spacing w:line="480" w:lineRule="auto"/>
        <w:rPr>
          <w:rFonts w:ascii="Times New Roman" w:hAnsi="Times New Roman" w:cs="Times New Roman"/>
          <w:b/>
          <w:sz w:val="24"/>
          <w:szCs w:val="24"/>
        </w:rPr>
      </w:pPr>
    </w:p>
    <w:p w:rsidR="00690DBD" w:rsidP="00690DBD">
      <w:pPr>
        <w:spacing w:line="480" w:lineRule="auto"/>
        <w:rPr>
          <w:rFonts w:ascii="Times New Roman" w:hAnsi="Times New Roman" w:cs="Times New Roman"/>
          <w:b/>
          <w:sz w:val="24"/>
          <w:szCs w:val="24"/>
        </w:rPr>
      </w:pPr>
    </w:p>
    <w:p w:rsidR="00342A21" w:rsidRPr="00795CCF" w:rsidP="00795CCF">
      <w:pPr>
        <w:spacing w:line="480" w:lineRule="auto"/>
        <w:jc w:val="center"/>
        <w:rPr>
          <w:rFonts w:ascii="Times New Roman" w:hAnsi="Times New Roman" w:cs="Times New Roman"/>
          <w:b/>
          <w:sz w:val="24"/>
          <w:szCs w:val="24"/>
        </w:rPr>
      </w:pPr>
      <w:r w:rsidRPr="00795CCF">
        <w:rPr>
          <w:rFonts w:ascii="Times New Roman" w:hAnsi="Times New Roman" w:cs="Times New Roman"/>
          <w:b/>
          <w:sz w:val="24"/>
          <w:szCs w:val="24"/>
        </w:rPr>
        <w:t xml:space="preserve">Article </w:t>
      </w:r>
      <w:r w:rsidR="00690DBD">
        <w:rPr>
          <w:rFonts w:ascii="Times New Roman" w:hAnsi="Times New Roman" w:cs="Times New Roman"/>
          <w:b/>
          <w:sz w:val="24"/>
          <w:szCs w:val="24"/>
        </w:rPr>
        <w:t xml:space="preserve">summary and </w:t>
      </w:r>
      <w:r w:rsidRPr="00795CCF">
        <w:rPr>
          <w:rFonts w:ascii="Times New Roman" w:hAnsi="Times New Roman" w:cs="Times New Roman"/>
          <w:b/>
          <w:sz w:val="24"/>
          <w:szCs w:val="24"/>
        </w:rPr>
        <w:t>critique</w:t>
      </w:r>
    </w:p>
    <w:p w:rsidR="0047495F" w:rsidRPr="00AE1B78" w:rsidP="00AE1B78">
      <w:pPr>
        <w:spacing w:line="480" w:lineRule="auto"/>
        <w:ind w:firstLine="720"/>
        <w:rPr>
          <w:rFonts w:ascii="Times New Roman" w:hAnsi="Times New Roman" w:cs="Times New Roman"/>
          <w:sz w:val="24"/>
          <w:szCs w:val="24"/>
        </w:rPr>
      </w:pPr>
      <w:r w:rsidRPr="00795CCF">
        <w:rPr>
          <w:rFonts w:ascii="Times New Roman" w:hAnsi="Times New Roman" w:cs="Times New Roman"/>
          <w:sz w:val="24"/>
          <w:szCs w:val="24"/>
        </w:rPr>
        <w:t xml:space="preserve">The article “Representation on the Courts? </w:t>
      </w:r>
      <w:r w:rsidRPr="00795CCF">
        <w:rPr>
          <w:rFonts w:ascii="Times New Roman" w:hAnsi="Times New Roman" w:cs="Times New Roman"/>
          <w:sz w:val="24"/>
          <w:szCs w:val="24"/>
        </w:rPr>
        <w:t>The Effects of Trial Judges’ Sex and Race</w:t>
      </w:r>
      <w:r w:rsidRPr="00795CCF">
        <w:rPr>
          <w:rFonts w:ascii="Times New Roman" w:hAnsi="Times New Roman" w:cs="Times New Roman"/>
          <w:sz w:val="24"/>
          <w:szCs w:val="24"/>
        </w:rPr>
        <w:t xml:space="preserve">” </w:t>
      </w:r>
      <w:r w:rsidRPr="00795CCF" w:rsidR="00104478">
        <w:rPr>
          <w:rFonts w:ascii="Times New Roman" w:hAnsi="Times New Roman" w:cs="Times New Roman"/>
          <w:sz w:val="24"/>
          <w:szCs w:val="24"/>
        </w:rPr>
        <w:t xml:space="preserve">by Christina L. Boyd </w:t>
      </w:r>
      <w:r w:rsidR="0044221E">
        <w:rPr>
          <w:rFonts w:ascii="Times New Roman" w:hAnsi="Times New Roman" w:cs="Times New Roman"/>
          <w:sz w:val="24"/>
          <w:szCs w:val="24"/>
        </w:rPr>
        <w:t>explains</w:t>
      </w:r>
      <w:bookmarkStart w:id="0" w:name="_GoBack"/>
      <w:bookmarkEnd w:id="0"/>
      <w:r w:rsidRPr="00795CCF">
        <w:rPr>
          <w:rFonts w:ascii="Times New Roman" w:hAnsi="Times New Roman" w:cs="Times New Roman"/>
          <w:sz w:val="24"/>
          <w:szCs w:val="24"/>
        </w:rPr>
        <w:t xml:space="preserve"> the extent to which actor diversity can influence the efficiency of political institutions like courts and administrative agencies. The author starts by stating that previous results of political diversity that black and female legislators pursue representative policies and that female federal </w:t>
      </w:r>
      <w:r w:rsidRPr="00795CCF" w:rsidR="00A552E0">
        <w:rPr>
          <w:rFonts w:ascii="Times New Roman" w:hAnsi="Times New Roman" w:cs="Times New Roman"/>
          <w:sz w:val="24"/>
          <w:szCs w:val="24"/>
        </w:rPr>
        <w:t xml:space="preserve">governmental </w:t>
      </w:r>
      <w:r w:rsidRPr="00795CCF" w:rsidR="00104478">
        <w:rPr>
          <w:rFonts w:ascii="Times New Roman" w:hAnsi="Times New Roman" w:cs="Times New Roman"/>
          <w:sz w:val="24"/>
          <w:szCs w:val="24"/>
        </w:rPr>
        <w:t>agency</w:t>
      </w:r>
      <w:r w:rsidRPr="00795CCF" w:rsidR="00A552E0">
        <w:rPr>
          <w:rFonts w:ascii="Times New Roman" w:hAnsi="Times New Roman" w:cs="Times New Roman"/>
          <w:sz w:val="24"/>
          <w:szCs w:val="24"/>
        </w:rPr>
        <w:t xml:space="preserve"> bureaucrats support more female-friendly policies than their male counterparts. There is a difference in which female and black appellate court judges make decisions compared to their white male counterparts. Diversity affects trial and judging, which has tremendous implications in trial courts for costs, settlements, </w:t>
      </w:r>
      <w:r w:rsidRPr="00795CCF">
        <w:rPr>
          <w:rFonts w:ascii="Times New Roman" w:hAnsi="Times New Roman" w:cs="Times New Roman"/>
          <w:sz w:val="24"/>
          <w:szCs w:val="24"/>
        </w:rPr>
        <w:t>outcomes, and distribut</w:t>
      </w:r>
      <w:r w:rsidR="00AE1B78">
        <w:rPr>
          <w:rFonts w:ascii="Times New Roman" w:hAnsi="Times New Roman" w:cs="Times New Roman"/>
          <w:sz w:val="24"/>
          <w:szCs w:val="24"/>
        </w:rPr>
        <w:t xml:space="preserve">ion of resources after the case (Howard, </w:t>
      </w:r>
      <w:r w:rsidRPr="00AE1B78" w:rsidR="00AE1B78">
        <w:rPr>
          <w:rFonts w:ascii="Times New Roman" w:hAnsi="Times New Roman" w:cs="Times New Roman"/>
          <w:sz w:val="24"/>
          <w:szCs w:val="24"/>
        </w:rPr>
        <w:t>2002).</w:t>
      </w:r>
    </w:p>
    <w:p w:rsidR="00342A21" w:rsidRPr="00795CCF" w:rsidP="00795CCF">
      <w:pPr>
        <w:spacing w:line="480" w:lineRule="auto"/>
        <w:ind w:firstLine="720"/>
        <w:rPr>
          <w:rFonts w:ascii="Times New Roman" w:hAnsi="Times New Roman" w:cs="Times New Roman"/>
          <w:sz w:val="24"/>
          <w:szCs w:val="24"/>
        </w:rPr>
      </w:pPr>
      <w:r w:rsidRPr="00795CCF">
        <w:rPr>
          <w:rFonts w:ascii="Times New Roman" w:hAnsi="Times New Roman" w:cs="Times New Roman"/>
          <w:sz w:val="24"/>
          <w:szCs w:val="24"/>
        </w:rPr>
        <w:t>Boyd’s research uses data from Kim, Schlanger, and Ma</w:t>
      </w:r>
      <w:r w:rsidRPr="00795CCF" w:rsidR="002D2A17">
        <w:rPr>
          <w:rFonts w:ascii="Times New Roman" w:hAnsi="Times New Roman" w:cs="Times New Roman"/>
          <w:sz w:val="24"/>
          <w:szCs w:val="24"/>
        </w:rPr>
        <w:t xml:space="preserve">rtin (2013), EEOC dataset brought federal trial court employment discrimination lawsuits. In this data, 2300 EEOC cases were filed between 1997 and 2006. The dependent variable for the research is the pro-plaintiff outcome, while the independent variables are the race and sex of the judge deciding the case. </w:t>
      </w:r>
      <w:r w:rsidRPr="00795CCF" w:rsidR="00F903AE">
        <w:rPr>
          <w:rFonts w:ascii="Times New Roman" w:hAnsi="Times New Roman" w:cs="Times New Roman"/>
          <w:sz w:val="24"/>
          <w:szCs w:val="24"/>
        </w:rPr>
        <w:t>The control variables include the judgment by the jury, along with the ideology variance of his supervising court</w:t>
      </w:r>
      <w:r w:rsidRPr="00795CCF" w:rsidR="00104478">
        <w:rPr>
          <w:rFonts w:ascii="Times New Roman" w:hAnsi="Times New Roman" w:cs="Times New Roman"/>
          <w:sz w:val="24"/>
          <w:szCs w:val="24"/>
        </w:rPr>
        <w:t xml:space="preserve"> of judges to rule in favor of </w:t>
      </w:r>
      <w:r w:rsidRPr="00795CCF" w:rsidR="00F903AE">
        <w:rPr>
          <w:rFonts w:ascii="Times New Roman" w:hAnsi="Times New Roman" w:cs="Times New Roman"/>
          <w:sz w:val="24"/>
          <w:szCs w:val="24"/>
        </w:rPr>
        <w:t>the plaintiff in the sex discrimination cases</w:t>
      </w:r>
      <w:r w:rsidRPr="00212B53" w:rsidR="00212B53">
        <w:t xml:space="preserve"> </w:t>
      </w:r>
      <w:r w:rsidR="00212B53">
        <w:t>(</w:t>
      </w:r>
      <w:r w:rsidR="00212B53">
        <w:rPr>
          <w:rFonts w:ascii="Times New Roman" w:hAnsi="Times New Roman" w:cs="Times New Roman"/>
          <w:sz w:val="24"/>
          <w:szCs w:val="24"/>
        </w:rPr>
        <w:t xml:space="preserve">Kastellec, </w:t>
      </w:r>
      <w:r w:rsidRPr="00212B53" w:rsidR="00212B53">
        <w:rPr>
          <w:rFonts w:ascii="Times New Roman" w:hAnsi="Times New Roman" w:cs="Times New Roman"/>
          <w:sz w:val="24"/>
          <w:szCs w:val="24"/>
        </w:rPr>
        <w:t>2013).</w:t>
      </w:r>
    </w:p>
    <w:p w:rsidR="00104478" w:rsidRPr="00795CCF" w:rsidP="00795CC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essential assumption</w:t>
      </w:r>
      <w:r w:rsidRPr="00795CCF">
        <w:rPr>
          <w:rFonts w:ascii="Times New Roman" w:hAnsi="Times New Roman" w:cs="Times New Roman"/>
          <w:sz w:val="24"/>
          <w:szCs w:val="24"/>
        </w:rPr>
        <w:t xml:space="preserve"> </w:t>
      </w:r>
      <w:r>
        <w:rPr>
          <w:rFonts w:ascii="Times New Roman" w:hAnsi="Times New Roman" w:cs="Times New Roman"/>
          <w:sz w:val="24"/>
          <w:szCs w:val="24"/>
        </w:rPr>
        <w:t>of the study is that</w:t>
      </w:r>
      <w:r w:rsidRPr="00795CCF">
        <w:rPr>
          <w:rFonts w:ascii="Times New Roman" w:hAnsi="Times New Roman" w:cs="Times New Roman"/>
          <w:sz w:val="24"/>
          <w:szCs w:val="24"/>
        </w:rPr>
        <w:t xml:space="preserve"> that judges hold the discretion and opportunities needed for them to behave in </w:t>
      </w:r>
      <w:r w:rsidRPr="00795CCF" w:rsidR="009B5600">
        <w:rPr>
          <w:rFonts w:ascii="Times New Roman" w:hAnsi="Times New Roman" w:cs="Times New Roman"/>
          <w:sz w:val="24"/>
          <w:szCs w:val="24"/>
        </w:rPr>
        <w:t>ways to implement their preferred outcomes. This means that black female judges are flexible in choosing and making decisions that favor sex and race, discrimination plaintiffs. 
</w:t>
      </w:r>
    </w:p>
    <w:p w:rsidR="00F903AE" w:rsidRPr="00795CCF" w:rsidP="00795CCF">
      <w:pPr>
        <w:spacing w:line="480" w:lineRule="auto"/>
        <w:ind w:firstLine="720"/>
        <w:rPr>
          <w:rFonts w:ascii="Times New Roman" w:hAnsi="Times New Roman" w:cs="Times New Roman"/>
          <w:sz w:val="24"/>
          <w:szCs w:val="24"/>
        </w:rPr>
      </w:pPr>
      <w:r w:rsidRPr="00795CCF">
        <w:rPr>
          <w:rFonts w:ascii="Times New Roman" w:hAnsi="Times New Roman" w:cs="Times New Roman"/>
          <w:sz w:val="24"/>
          <w:szCs w:val="24"/>
        </w:rPr>
        <w:t>The results of the study confirm that the sex and race of a judge affect their ruling. The study found out that female judges are more likely to rule in favor of the plaintiff in sex discrimination cases than their male counterparts. The study shows that the female judge is positive and statistically significant. The research found that there is no statistical evidence that male and female judges behave differently from one another in cases involving race discrimination. 
</w:t>
      </w:r>
    </w:p>
    <w:p w:rsidR="00C72A09" w:rsidRPr="00795CCF" w:rsidP="00795CCF">
      <w:pPr>
        <w:spacing w:line="480" w:lineRule="auto"/>
        <w:ind w:firstLine="720"/>
        <w:rPr>
          <w:rFonts w:ascii="Times New Roman" w:hAnsi="Times New Roman" w:cs="Times New Roman"/>
          <w:sz w:val="24"/>
          <w:szCs w:val="24"/>
        </w:rPr>
      </w:pPr>
      <w:r w:rsidRPr="00795CCF">
        <w:rPr>
          <w:rFonts w:ascii="Times New Roman" w:hAnsi="Times New Roman" w:cs="Times New Roman"/>
          <w:sz w:val="24"/>
          <w:szCs w:val="24"/>
        </w:rPr>
        <w:t xml:space="preserve">From the above study, it is clear that being male or female, white or black judge can affect the ruling you give in a court. </w:t>
      </w:r>
      <w:r w:rsidR="007972DF">
        <w:rPr>
          <w:rFonts w:ascii="Times New Roman" w:hAnsi="Times New Roman" w:cs="Times New Roman"/>
          <w:sz w:val="24"/>
          <w:szCs w:val="24"/>
        </w:rPr>
        <w:t xml:space="preserve">The research shows that the </w:t>
      </w:r>
      <w:r w:rsidRPr="007972DF" w:rsidR="007972DF">
        <w:rPr>
          <w:rFonts w:ascii="Times New Roman" w:hAnsi="Times New Roman" w:cs="Times New Roman"/>
          <w:sz w:val="24"/>
          <w:szCs w:val="24"/>
        </w:rPr>
        <w:t>judge’s sex and race have significant effects on his or her decision making.</w:t>
      </w:r>
      <w:r w:rsidR="007972DF">
        <w:rPr>
          <w:rFonts w:ascii="Times New Roman" w:hAnsi="Times New Roman" w:cs="Times New Roman"/>
          <w:sz w:val="24"/>
          <w:szCs w:val="24"/>
        </w:rPr>
        <w:t xml:space="preserve"> </w:t>
      </w:r>
      <w:r w:rsidRPr="00795CCF">
        <w:rPr>
          <w:rFonts w:ascii="Times New Roman" w:hAnsi="Times New Roman" w:cs="Times New Roman"/>
          <w:sz w:val="24"/>
          <w:szCs w:val="24"/>
        </w:rPr>
        <w:t xml:space="preserve">Although some of the studies show that female judges are not different from their male counterparts in making decisions concerning sexual harassment or employment discrimination, this study has confirmed various </w:t>
      </w:r>
      <w:r w:rsidRPr="00795CCF" w:rsidR="00D42F23">
        <w:rPr>
          <w:rFonts w:ascii="Times New Roman" w:hAnsi="Times New Roman" w:cs="Times New Roman"/>
          <w:sz w:val="24"/>
          <w:szCs w:val="24"/>
        </w:rPr>
        <w:t xml:space="preserve">rulings between male and female judges. For example, female trial judges are more likely (15%) to rule in favor of the discrimination claimant than male judges when deciding sex discrimination cases. Black trial cases court juries are likely by 39% to choose in support of the race discrimination plaintiff than white judges in race discrimination cases. Boyd's work is similar to other research, which confirms that </w:t>
      </w:r>
      <w:r w:rsidRPr="00795CCF">
        <w:rPr>
          <w:rFonts w:ascii="Times New Roman" w:hAnsi="Times New Roman" w:cs="Times New Roman"/>
          <w:sz w:val="24"/>
          <w:szCs w:val="24"/>
        </w:rPr>
        <w:t>active diversity judges affect the verdict given by judges. 
</w:t>
      </w:r>
    </w:p>
    <w:p w:rsidR="007E42FE" w:rsidRPr="00212B53" w:rsidP="00212B53">
      <w:pPr>
        <w:spacing w:line="480" w:lineRule="auto"/>
        <w:ind w:firstLine="720"/>
        <w:rPr>
          <w:rFonts w:ascii="Times New Roman" w:hAnsi="Times New Roman" w:cs="Times New Roman"/>
          <w:sz w:val="24"/>
          <w:szCs w:val="24"/>
        </w:rPr>
      </w:pPr>
      <w:r w:rsidRPr="00795CCF">
        <w:rPr>
          <w:rFonts w:ascii="Times New Roman" w:hAnsi="Times New Roman" w:cs="Times New Roman"/>
          <w:sz w:val="24"/>
          <w:szCs w:val="24"/>
        </w:rPr>
        <w:t xml:space="preserve">One of the weaknesses (limitation) of this research is that it did not use primary data. The data used </w:t>
      </w:r>
      <w:r w:rsidR="003E5AE1">
        <w:rPr>
          <w:rFonts w:ascii="Times New Roman" w:hAnsi="Times New Roman" w:cs="Times New Roman"/>
          <w:sz w:val="24"/>
          <w:szCs w:val="24"/>
        </w:rPr>
        <w:t xml:space="preserve">was from </w:t>
      </w:r>
      <w:r w:rsidRPr="00795CCF">
        <w:rPr>
          <w:rFonts w:ascii="Times New Roman" w:hAnsi="Times New Roman" w:cs="Times New Roman"/>
          <w:sz w:val="24"/>
          <w:szCs w:val="24"/>
        </w:rPr>
        <w:t>the findings</w:t>
      </w:r>
      <w:r w:rsidR="003E5AE1">
        <w:rPr>
          <w:rFonts w:ascii="Times New Roman" w:hAnsi="Times New Roman" w:cs="Times New Roman"/>
          <w:sz w:val="24"/>
          <w:szCs w:val="24"/>
        </w:rPr>
        <w:t xml:space="preserve"> of </w:t>
      </w:r>
      <w:r w:rsidRPr="00795CCF" w:rsidR="003E5AE1">
        <w:rPr>
          <w:rFonts w:ascii="Times New Roman" w:hAnsi="Times New Roman" w:cs="Times New Roman"/>
          <w:sz w:val="24"/>
          <w:szCs w:val="24"/>
        </w:rPr>
        <w:t>Kim</w:t>
      </w:r>
      <w:r w:rsidRPr="00795CCF">
        <w:rPr>
          <w:rFonts w:ascii="Times New Roman" w:hAnsi="Times New Roman" w:cs="Times New Roman"/>
          <w:sz w:val="24"/>
          <w:szCs w:val="24"/>
        </w:rPr>
        <w:t xml:space="preserve">, Schlanger, and Martin (2013), EEOC dataset. The study focused on the underlying database for the cases brought by the EEOC into the federal district courts. The results would have been different if we used </w:t>
      </w:r>
      <w:r w:rsidRPr="00795CCF" w:rsidR="00795CCF">
        <w:rPr>
          <w:rFonts w:ascii="Times New Roman" w:hAnsi="Times New Roman" w:cs="Times New Roman"/>
          <w:sz w:val="24"/>
          <w:szCs w:val="24"/>
        </w:rPr>
        <w:t>lawsuits filed by other types of plaintiffs. The results are</w:t>
      </w:r>
      <w:r w:rsidR="003E5AE1">
        <w:rPr>
          <w:rFonts w:ascii="Times New Roman" w:hAnsi="Times New Roman" w:cs="Times New Roman"/>
          <w:sz w:val="24"/>
          <w:szCs w:val="24"/>
        </w:rPr>
        <w:t>, therefore</w:t>
      </w:r>
      <w:r w:rsidRPr="00795CCF" w:rsidR="00795CCF">
        <w:rPr>
          <w:rFonts w:ascii="Times New Roman" w:hAnsi="Times New Roman" w:cs="Times New Roman"/>
          <w:sz w:val="24"/>
          <w:szCs w:val="24"/>
        </w:rPr>
        <w:t>, much</w:t>
      </w:r>
      <w:r w:rsidR="00212B53">
        <w:rPr>
          <w:rFonts w:ascii="Times New Roman" w:hAnsi="Times New Roman" w:cs="Times New Roman"/>
          <w:sz w:val="24"/>
          <w:szCs w:val="24"/>
        </w:rPr>
        <w:t xml:space="preserve"> generalized (Johnson, </w:t>
      </w:r>
      <w:r w:rsidRPr="00212B53" w:rsidR="00212B53">
        <w:rPr>
          <w:rFonts w:ascii="Times New Roman" w:hAnsi="Times New Roman" w:cs="Times New Roman"/>
          <w:sz w:val="24"/>
          <w:szCs w:val="24"/>
        </w:rPr>
        <w:t>2014).</w:t>
      </w:r>
    </w:p>
    <w:p w:rsidR="00795CCF" w:rsidRPr="00CC6BDC" w:rsidP="00CC6BDC">
      <w:pPr>
        <w:spacing w:line="480" w:lineRule="auto"/>
        <w:ind w:firstLine="720"/>
        <w:rPr>
          <w:rFonts w:ascii="Times New Roman" w:hAnsi="Times New Roman" w:cs="Times New Roman"/>
          <w:sz w:val="24"/>
          <w:szCs w:val="24"/>
        </w:rPr>
      </w:pPr>
      <w:r w:rsidRPr="00795CCF">
        <w:rPr>
          <w:rFonts w:ascii="Times New Roman" w:hAnsi="Times New Roman" w:cs="Times New Roman"/>
          <w:sz w:val="24"/>
          <w:szCs w:val="24"/>
        </w:rPr>
        <w:t xml:space="preserve">The second limitation is that the study focused on two cases- discrimination based on sex employment and discrimination based on race employment. This study cannot be used in other issues such as </w:t>
      </w:r>
      <w:r w:rsidR="00CC6BDC">
        <w:rPr>
          <w:rFonts w:ascii="Times New Roman" w:hAnsi="Times New Roman" w:cs="Times New Roman"/>
          <w:sz w:val="24"/>
          <w:szCs w:val="24"/>
        </w:rPr>
        <w:t>abortion or criminal sentencing</w:t>
      </w:r>
      <w:r w:rsidRPr="00795CCF">
        <w:rPr>
          <w:rFonts w:ascii="Times New Roman" w:hAnsi="Times New Roman" w:cs="Times New Roman"/>
          <w:sz w:val="24"/>
          <w:szCs w:val="24"/>
        </w:rPr>
        <w:t xml:space="preserve"> </w:t>
      </w:r>
      <w:r w:rsidR="00CC6BDC">
        <w:rPr>
          <w:rFonts w:ascii="Times New Roman" w:hAnsi="Times New Roman" w:cs="Times New Roman"/>
          <w:sz w:val="24"/>
          <w:szCs w:val="24"/>
        </w:rPr>
        <w:t xml:space="preserve">(Welch, Combs, &amp; Gruhl, </w:t>
      </w:r>
      <w:r w:rsidRPr="00CC6BDC" w:rsidR="00CC6BDC">
        <w:rPr>
          <w:rFonts w:ascii="Times New Roman" w:hAnsi="Times New Roman" w:cs="Times New Roman"/>
          <w:sz w:val="24"/>
          <w:szCs w:val="24"/>
        </w:rPr>
        <w:t>1988).</w:t>
      </w:r>
    </w:p>
    <w:p w:rsidR="003E5AE1" w:rsidP="007972D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this study has shown how race and gender can affect legislative and administrative agencies, especially the court system. The judges are biased and inclined towards their preferred gender or race. This affects the credibility of the court system.</w:t>
      </w:r>
      <w:r w:rsidR="00F424C9">
        <w:rPr>
          <w:rFonts w:ascii="Times New Roman" w:hAnsi="Times New Roman" w:cs="Times New Roman"/>
          <w:sz w:val="24"/>
          <w:szCs w:val="24"/>
        </w:rPr>
        <w:t xml:space="preserve"> It </w:t>
      </w:r>
      <w:r w:rsidR="00690DBD">
        <w:rPr>
          <w:rFonts w:ascii="Times New Roman" w:hAnsi="Times New Roman" w:cs="Times New Roman"/>
          <w:sz w:val="24"/>
          <w:szCs w:val="24"/>
        </w:rPr>
        <w:t>also</w:t>
      </w:r>
      <w:r w:rsidR="00F424C9">
        <w:rPr>
          <w:rFonts w:ascii="Times New Roman" w:hAnsi="Times New Roman" w:cs="Times New Roman"/>
          <w:sz w:val="24"/>
          <w:szCs w:val="24"/>
        </w:rPr>
        <w:t xml:space="preserve"> breaches the justice</w:t>
      </w:r>
      <w:r w:rsidR="00690DBD">
        <w:rPr>
          <w:rFonts w:ascii="Times New Roman" w:hAnsi="Times New Roman" w:cs="Times New Roman"/>
          <w:sz w:val="24"/>
          <w:szCs w:val="24"/>
        </w:rPr>
        <w:t xml:space="preserve"> of individuals, especially </w:t>
      </w:r>
      <w:r w:rsidR="00F424C9">
        <w:rPr>
          <w:rFonts w:ascii="Times New Roman" w:hAnsi="Times New Roman" w:cs="Times New Roman"/>
          <w:sz w:val="24"/>
          <w:szCs w:val="24"/>
        </w:rPr>
        <w:t xml:space="preserve">the minority and marginalized. </w:t>
      </w:r>
      <w:r w:rsidR="007972DF">
        <w:rPr>
          <w:rFonts w:ascii="Times New Roman" w:hAnsi="Times New Roman" w:cs="Times New Roman"/>
          <w:sz w:val="24"/>
          <w:szCs w:val="24"/>
        </w:rPr>
        <w:t xml:space="preserve">This is because the </w:t>
      </w:r>
      <w:r w:rsidRPr="007972DF" w:rsidR="007972DF">
        <w:rPr>
          <w:rFonts w:ascii="Times New Roman" w:hAnsi="Times New Roman" w:cs="Times New Roman"/>
          <w:sz w:val="24"/>
          <w:szCs w:val="24"/>
        </w:rPr>
        <w:t>judge</w:t>
      </w:r>
      <w:r w:rsidR="007972DF">
        <w:rPr>
          <w:rFonts w:ascii="Times New Roman" w:hAnsi="Times New Roman" w:cs="Times New Roman"/>
          <w:sz w:val="24"/>
          <w:szCs w:val="24"/>
        </w:rPr>
        <w:t xml:space="preserve">’s sex and race have significant </w:t>
      </w:r>
      <w:r w:rsidRPr="007972DF" w:rsidR="007972DF">
        <w:rPr>
          <w:rFonts w:ascii="Times New Roman" w:hAnsi="Times New Roman" w:cs="Times New Roman"/>
          <w:sz w:val="24"/>
          <w:szCs w:val="24"/>
        </w:rPr>
        <w:t>effects on his or her decision making</w:t>
      </w:r>
      <w:r w:rsidR="007972DF">
        <w:rPr>
          <w:rFonts w:ascii="Times New Roman" w:hAnsi="Times New Roman" w:cs="Times New Roman"/>
          <w:sz w:val="24"/>
          <w:szCs w:val="24"/>
        </w:rPr>
        <w:t>.</w:t>
      </w: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365F61" w:rsidP="007972DF">
      <w:pPr>
        <w:spacing w:line="480" w:lineRule="auto"/>
        <w:ind w:firstLine="720"/>
        <w:rPr>
          <w:rFonts w:ascii="Times New Roman" w:hAnsi="Times New Roman" w:cs="Times New Roman"/>
          <w:sz w:val="24"/>
          <w:szCs w:val="24"/>
        </w:rPr>
      </w:pPr>
    </w:p>
    <w:p w:rsidR="00EB5538" w:rsidP="00365F61">
      <w:pPr>
        <w:spacing w:line="480" w:lineRule="auto"/>
        <w:ind w:firstLine="720"/>
        <w:rPr>
          <w:rFonts w:ascii="Times New Roman" w:hAnsi="Times New Roman" w:cs="Times New Roman"/>
          <w:sz w:val="24"/>
          <w:szCs w:val="24"/>
        </w:rPr>
      </w:pPr>
    </w:p>
    <w:p w:rsidR="00EB5538" w:rsidP="00365F61">
      <w:pPr>
        <w:spacing w:line="480" w:lineRule="auto"/>
        <w:ind w:firstLine="720"/>
        <w:rPr>
          <w:rFonts w:ascii="Times New Roman" w:hAnsi="Times New Roman" w:cs="Times New Roman"/>
          <w:sz w:val="24"/>
          <w:szCs w:val="24"/>
        </w:rPr>
      </w:pPr>
    </w:p>
    <w:p w:rsidR="00365F61" w:rsidRPr="00EB5538" w:rsidP="00EB5538">
      <w:pPr>
        <w:spacing w:line="480" w:lineRule="auto"/>
        <w:ind w:firstLine="720"/>
        <w:jc w:val="center"/>
        <w:rPr>
          <w:rFonts w:ascii="Times New Roman" w:hAnsi="Times New Roman" w:cs="Times New Roman"/>
          <w:b/>
          <w:sz w:val="24"/>
          <w:szCs w:val="24"/>
        </w:rPr>
      </w:pPr>
      <w:r w:rsidRPr="00EB5538">
        <w:rPr>
          <w:rFonts w:ascii="Times New Roman" w:hAnsi="Times New Roman" w:cs="Times New Roman"/>
          <w:b/>
          <w:sz w:val="24"/>
          <w:szCs w:val="24"/>
        </w:rPr>
        <w:t>References</w:t>
      </w:r>
    </w:p>
    <w:p w:rsidR="00EB5538" w:rsidP="00EB5538">
      <w:pPr>
        <w:spacing w:line="480" w:lineRule="auto"/>
        <w:ind w:left="720" w:hanging="720"/>
        <w:rPr>
          <w:rFonts w:ascii="Times New Roman" w:hAnsi="Times New Roman" w:cs="Times New Roman"/>
          <w:sz w:val="24"/>
          <w:szCs w:val="24"/>
        </w:rPr>
      </w:pPr>
      <w:r w:rsidRPr="00365F61">
        <w:rPr>
          <w:rFonts w:ascii="Times New Roman" w:hAnsi="Times New Roman" w:cs="Times New Roman"/>
          <w:sz w:val="24"/>
          <w:szCs w:val="24"/>
        </w:rPr>
        <w:t>Howard, R. M. (2002). Litigation, Courts, and Bureaucratic Policy: Equity, Efficiency, and the Internal Revenue Service. American Politics Research, 30(6), 583-607.</w:t>
      </w:r>
    </w:p>
    <w:p w:rsidR="00EB5538" w:rsidP="00EB5538">
      <w:pPr>
        <w:spacing w:line="480" w:lineRule="auto"/>
        <w:ind w:left="720" w:hanging="720"/>
        <w:rPr>
          <w:rFonts w:ascii="Times New Roman" w:hAnsi="Times New Roman" w:cs="Times New Roman"/>
          <w:sz w:val="24"/>
          <w:szCs w:val="24"/>
        </w:rPr>
      </w:pPr>
      <w:r w:rsidRPr="00365F61">
        <w:rPr>
          <w:rFonts w:ascii="Times New Roman" w:hAnsi="Times New Roman" w:cs="Times New Roman"/>
          <w:sz w:val="24"/>
          <w:szCs w:val="24"/>
        </w:rPr>
        <w:t>Johnson, B. D. (2014). Judges on trial: A reexamination of judicial race and gender effects across modes of conviction. Criminal Justice Policy Review, 25(2), 159-184.</w:t>
      </w:r>
    </w:p>
    <w:p w:rsidR="00EB5538" w:rsidP="00EB5538">
      <w:pPr>
        <w:spacing w:line="480" w:lineRule="auto"/>
        <w:ind w:left="720" w:hanging="720"/>
        <w:rPr>
          <w:rFonts w:ascii="Times New Roman" w:hAnsi="Times New Roman" w:cs="Times New Roman"/>
          <w:sz w:val="24"/>
          <w:szCs w:val="24"/>
        </w:rPr>
      </w:pPr>
      <w:r w:rsidRPr="00365F61">
        <w:rPr>
          <w:rFonts w:ascii="Times New Roman" w:hAnsi="Times New Roman" w:cs="Times New Roman"/>
          <w:sz w:val="24"/>
          <w:szCs w:val="24"/>
        </w:rPr>
        <w:t>Kastellec, J. P. (2013). Racial diversity and judicial influence on appellate courts. American Journal of Political Science, 57(1), 167-183.</w:t>
      </w:r>
    </w:p>
    <w:p w:rsidR="00EB5538" w:rsidRPr="00365F61" w:rsidP="00EB5538">
      <w:pPr>
        <w:spacing w:line="480" w:lineRule="auto"/>
        <w:ind w:left="720" w:hanging="720"/>
        <w:rPr>
          <w:rFonts w:ascii="Times New Roman" w:hAnsi="Times New Roman" w:cs="Times New Roman"/>
          <w:sz w:val="24"/>
          <w:szCs w:val="24"/>
        </w:rPr>
      </w:pPr>
      <w:r w:rsidRPr="00365F61">
        <w:rPr>
          <w:rFonts w:ascii="Times New Roman" w:hAnsi="Times New Roman" w:cs="Times New Roman"/>
          <w:sz w:val="24"/>
          <w:szCs w:val="24"/>
        </w:rPr>
        <w:t>Welch, S., Combs, M., &amp; Gruhl, J. (1988). Do black judges make a difference</w:t>
      </w:r>
      <w:r w:rsidRPr="00365F61">
        <w:rPr>
          <w:rFonts w:ascii="Times New Roman" w:hAnsi="Times New Roman" w:cs="Times New Roman"/>
          <w:sz w:val="24"/>
          <w:szCs w:val="24"/>
        </w:rPr>
        <w:t>?.</w:t>
      </w:r>
      <w:r w:rsidRPr="00365F61">
        <w:rPr>
          <w:rFonts w:ascii="Times New Roman" w:hAnsi="Times New Roman" w:cs="Times New Roman"/>
          <w:sz w:val="24"/>
          <w:szCs w:val="24"/>
        </w:rPr>
        <w:t xml:space="preserve"> American Journal of Political Science, 126-136.</w:t>
      </w:r>
    </w:p>
    <w:sectPr w:rsidSect="0044221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87970402"/>
      <w:docPartObj>
        <w:docPartGallery w:val="Page Numbers (Top of Page)"/>
        <w:docPartUnique/>
      </w:docPartObj>
    </w:sdtPr>
    <w:sdtEndPr>
      <w:rPr>
        <w:noProof/>
      </w:rPr>
    </w:sdtEndPr>
    <w:sdtContent>
      <w:p w:rsidR="0044221E" w:rsidRPr="0044221E">
        <w:pPr>
          <w:pStyle w:val="Header"/>
          <w:jc w:val="right"/>
          <w:rPr>
            <w:rFonts w:ascii="Times New Roman" w:hAnsi="Times New Roman" w:cs="Times New Roman"/>
            <w:sz w:val="24"/>
            <w:szCs w:val="24"/>
          </w:rPr>
        </w:pPr>
        <w:r w:rsidRPr="0044221E">
          <w:rPr>
            <w:rFonts w:ascii="Times New Roman" w:hAnsi="Times New Roman" w:cs="Times New Roman"/>
            <w:sz w:val="24"/>
            <w:szCs w:val="24"/>
          </w:rPr>
          <w:t xml:space="preserve">ARTICLE SUMMARY </w:t>
        </w:r>
        <w:r>
          <w:rPr>
            <w:rFonts w:ascii="Times New Roman" w:hAnsi="Times New Roman" w:cs="Times New Roman"/>
            <w:sz w:val="24"/>
            <w:szCs w:val="24"/>
          </w:rPr>
          <w:t xml:space="preserve">                                                                                                                  </w:t>
        </w:r>
        <w:r w:rsidRPr="0044221E">
          <w:rPr>
            <w:rFonts w:ascii="Times New Roman" w:hAnsi="Times New Roman" w:cs="Times New Roman"/>
            <w:sz w:val="24"/>
            <w:szCs w:val="24"/>
          </w:rPr>
          <w:fldChar w:fldCharType="begin"/>
        </w:r>
        <w:r w:rsidRPr="0044221E">
          <w:rPr>
            <w:rFonts w:ascii="Times New Roman" w:hAnsi="Times New Roman" w:cs="Times New Roman"/>
            <w:sz w:val="24"/>
            <w:szCs w:val="24"/>
          </w:rPr>
          <w:instrText xml:space="preserve"> PAGE   \* MERGEFORMAT </w:instrText>
        </w:r>
        <w:r w:rsidRPr="0044221E">
          <w:rPr>
            <w:rFonts w:ascii="Times New Roman" w:hAnsi="Times New Roman" w:cs="Times New Roman"/>
            <w:sz w:val="24"/>
            <w:szCs w:val="24"/>
          </w:rPr>
          <w:fldChar w:fldCharType="separate"/>
        </w:r>
        <w:r>
          <w:rPr>
            <w:rFonts w:ascii="Times New Roman" w:hAnsi="Times New Roman" w:cs="Times New Roman"/>
            <w:noProof/>
            <w:sz w:val="24"/>
            <w:szCs w:val="24"/>
          </w:rPr>
          <w:t>4</w:t>
        </w:r>
        <w:r w:rsidRPr="0044221E">
          <w:rPr>
            <w:rFonts w:ascii="Times New Roman" w:hAnsi="Times New Roman" w:cs="Times New Roman"/>
            <w:noProof/>
            <w:sz w:val="24"/>
            <w:szCs w:val="24"/>
          </w:rPr>
          <w:fldChar w:fldCharType="end"/>
        </w:r>
      </w:p>
    </w:sdtContent>
  </w:sdt>
  <w:p w:rsidR="00442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21E" w:rsidRPr="0044221E">
    <w:pPr>
      <w:pStyle w:val="Header"/>
      <w:rPr>
        <w:rFonts w:ascii="Times New Roman" w:hAnsi="Times New Roman" w:cs="Times New Roman"/>
        <w:sz w:val="24"/>
        <w:szCs w:val="24"/>
      </w:rPr>
    </w:pPr>
    <w:r w:rsidRPr="0044221E">
      <w:rPr>
        <w:rFonts w:ascii="Times New Roman" w:hAnsi="Times New Roman" w:cs="Times New Roman"/>
        <w:sz w:val="24"/>
        <w:szCs w:val="24"/>
      </w:rPr>
      <w:t xml:space="preserve">Running head: ARTICLE SUMMARY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A21"/>
    <w:rsid w:val="00104478"/>
    <w:rsid w:val="00212B53"/>
    <w:rsid w:val="002D2A17"/>
    <w:rsid w:val="00342A21"/>
    <w:rsid w:val="00365F61"/>
    <w:rsid w:val="003E5AE1"/>
    <w:rsid w:val="0044221E"/>
    <w:rsid w:val="0047495F"/>
    <w:rsid w:val="00482BB8"/>
    <w:rsid w:val="00690DBD"/>
    <w:rsid w:val="00795CCF"/>
    <w:rsid w:val="007972DF"/>
    <w:rsid w:val="007A3E70"/>
    <w:rsid w:val="007B5C6D"/>
    <w:rsid w:val="007E42FE"/>
    <w:rsid w:val="009B5600"/>
    <w:rsid w:val="00A552E0"/>
    <w:rsid w:val="00AE1B78"/>
    <w:rsid w:val="00C72A09"/>
    <w:rsid w:val="00CC6BDC"/>
    <w:rsid w:val="00CE338D"/>
    <w:rsid w:val="00D00B5C"/>
    <w:rsid w:val="00D42F23"/>
    <w:rsid w:val="00EB5538"/>
    <w:rsid w:val="00F424C9"/>
    <w:rsid w:val="00F903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2B5FC79-FABA-4327-A2AE-59CBB2243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21E"/>
  </w:style>
  <w:style w:type="paragraph" w:styleId="Footer">
    <w:name w:val="footer"/>
    <w:basedOn w:val="Normal"/>
    <w:link w:val="FooterChar"/>
    <w:uiPriority w:val="99"/>
    <w:unhideWhenUsed/>
    <w:rsid w:val="00442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5</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2019-12-06T06:18:00Z</dcterms:created>
  <dcterms:modified xsi:type="dcterms:W3CDTF">2019-12-06T10:12:00Z</dcterms:modified>
</cp:coreProperties>
</file>